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9" w:rsidRPr="00C4167A" w:rsidRDefault="008042B9" w:rsidP="008042B9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SITKI KOÇMAN ÜNİVERSİTESİ </w:t>
      </w:r>
    </w:p>
    <w:p w:rsidR="008042B9" w:rsidRPr="00C4167A" w:rsidRDefault="008042B9" w:rsidP="008042B9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8042B9" w:rsidRPr="00C4167A" w:rsidRDefault="008042B9" w:rsidP="008042B9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8042B9" w:rsidRPr="00C4167A" w:rsidRDefault="008042B9" w:rsidP="008042B9">
      <w:pPr>
        <w:ind w:left="567" w:hanging="284"/>
        <w:jc w:val="center"/>
        <w:rPr>
          <w:b/>
        </w:rPr>
      </w:pPr>
    </w:p>
    <w:p w:rsidR="008042B9" w:rsidRPr="00C4167A" w:rsidRDefault="008042B9" w:rsidP="008042B9">
      <w:pPr>
        <w:ind w:left="567" w:hanging="284"/>
        <w:jc w:val="center"/>
        <w:rPr>
          <w:b/>
        </w:rPr>
      </w:pPr>
    </w:p>
    <w:p w:rsidR="008042B9" w:rsidRPr="00C4167A" w:rsidRDefault="008042B9" w:rsidP="008042B9">
      <w:pPr>
        <w:ind w:left="567" w:hanging="284"/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Toplantı/Karar </w:t>
      </w:r>
      <w:proofErr w:type="gramStart"/>
      <w:r w:rsidRPr="00C4167A">
        <w:rPr>
          <w:b/>
          <w:u w:val="single"/>
        </w:rPr>
        <w:t>Tarihi : 10</w:t>
      </w:r>
      <w:proofErr w:type="gramEnd"/>
      <w:r w:rsidRPr="00C4167A">
        <w:rPr>
          <w:b/>
          <w:u w:val="single"/>
        </w:rPr>
        <w:t xml:space="preserve">.01.2013                                                    </w:t>
      </w:r>
      <w:r w:rsidRPr="00C4167A">
        <w:rPr>
          <w:b/>
          <w:u w:val="single"/>
        </w:rPr>
        <w:tab/>
        <w:t xml:space="preserve"> Toplantı Sayısı : 44</w:t>
      </w:r>
    </w:p>
    <w:p w:rsidR="008042B9" w:rsidRPr="00C4167A" w:rsidRDefault="008042B9" w:rsidP="008042B9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8042B9" w:rsidRPr="00C4167A" w:rsidRDefault="008042B9" w:rsidP="008042B9">
      <w:pPr>
        <w:pStyle w:val="ListeParagraf"/>
        <w:ind w:left="567" w:hanging="284"/>
        <w:contextualSpacing/>
        <w:jc w:val="both"/>
        <w:rPr>
          <w:b/>
          <w:u w:val="single"/>
        </w:rPr>
      </w:pPr>
      <w:proofErr w:type="gramStart"/>
      <w:r w:rsidRPr="00C4167A">
        <w:rPr>
          <w:b/>
          <w:u w:val="single"/>
        </w:rPr>
        <w:t>KARARLAR :</w:t>
      </w:r>
      <w:proofErr w:type="gramEnd"/>
    </w:p>
    <w:p w:rsidR="008042B9" w:rsidRPr="00C4167A" w:rsidRDefault="008042B9" w:rsidP="008042B9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t>Araştırma ve Lisansüstü Projelerine ilişkin proje destek miktarlarının yeniden değerlendirilmesi sonucunda;</w:t>
      </w:r>
    </w:p>
    <w:p w:rsidR="008042B9" w:rsidRPr="00C4167A" w:rsidRDefault="008042B9" w:rsidP="008042B9">
      <w:pPr>
        <w:pStyle w:val="ListeParagraf"/>
        <w:ind w:left="426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 w:hanging="538"/>
        <w:contextualSpacing/>
        <w:jc w:val="both"/>
        <w:rPr>
          <w:b/>
        </w:rPr>
      </w:pPr>
      <w:proofErr w:type="gramStart"/>
      <w:r w:rsidRPr="00C4167A">
        <w:t>Bilimsel Araştırma Projeleri Komisyonunca desteklenmesine karar verilen Araştırma(Bireysel/Grup) Projelerinin 10.000,00.-TL.(</w:t>
      </w:r>
      <w:proofErr w:type="spellStart"/>
      <w:r w:rsidRPr="00C4167A">
        <w:t>onbinlira</w:t>
      </w:r>
      <w:proofErr w:type="spellEnd"/>
      <w:r w:rsidRPr="00C4167A">
        <w:t xml:space="preserve">) olan bütçe destek üst limitinin </w:t>
      </w:r>
      <w:r w:rsidRPr="00C4167A">
        <w:rPr>
          <w:b/>
          <w:i/>
        </w:rPr>
        <w:t>20.000,00.-TL.(</w:t>
      </w:r>
      <w:proofErr w:type="spellStart"/>
      <w:r w:rsidRPr="00C4167A">
        <w:rPr>
          <w:b/>
          <w:i/>
        </w:rPr>
        <w:t>yirmibinlira</w:t>
      </w:r>
      <w:proofErr w:type="spellEnd"/>
      <w:r w:rsidRPr="00C4167A">
        <w:rPr>
          <w:b/>
          <w:i/>
        </w:rPr>
        <w:t>)</w:t>
      </w:r>
      <w:r w:rsidRPr="00C4167A">
        <w:t xml:space="preserve">’ye çıkartılmasına ve Yüksek Lisans Tez Projelerinin bütçe destek üst limitinin </w:t>
      </w:r>
      <w:r w:rsidRPr="00C4167A">
        <w:rPr>
          <w:b/>
          <w:i/>
        </w:rPr>
        <w:t>5.000,00.-TL.(</w:t>
      </w:r>
      <w:proofErr w:type="spellStart"/>
      <w:r w:rsidRPr="00C4167A">
        <w:rPr>
          <w:b/>
          <w:i/>
        </w:rPr>
        <w:t>beşbinlira</w:t>
      </w:r>
      <w:proofErr w:type="spellEnd"/>
      <w:r w:rsidRPr="00C4167A">
        <w:rPr>
          <w:b/>
          <w:i/>
        </w:rPr>
        <w:t>)</w:t>
      </w:r>
      <w:r w:rsidRPr="00C4167A">
        <w:t xml:space="preserve"> ve Doktora Tez Projelerinin bütçe destek üst limitinin </w:t>
      </w:r>
      <w:r w:rsidRPr="00C4167A">
        <w:rPr>
          <w:b/>
          <w:i/>
        </w:rPr>
        <w:t>10.000,00.-TL.(</w:t>
      </w:r>
      <w:proofErr w:type="spellStart"/>
      <w:r w:rsidRPr="00C4167A">
        <w:rPr>
          <w:b/>
          <w:i/>
        </w:rPr>
        <w:t>onbinlira</w:t>
      </w:r>
      <w:proofErr w:type="spellEnd"/>
      <w:r w:rsidRPr="00C4167A">
        <w:rPr>
          <w:b/>
          <w:i/>
        </w:rPr>
        <w:t xml:space="preserve">) </w:t>
      </w:r>
      <w:r w:rsidRPr="00C4167A">
        <w:t>olarak kalmasına Komisyonumuzca oy birliği ile karar verildi.</w:t>
      </w:r>
      <w:proofErr w:type="gramEnd"/>
    </w:p>
    <w:p w:rsidR="008042B9" w:rsidRPr="00C4167A" w:rsidRDefault="008042B9" w:rsidP="008042B9">
      <w:pPr>
        <w:pStyle w:val="ListeParagraf"/>
        <w:ind w:left="574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3"/>
        <w:contextualSpacing/>
        <w:jc w:val="both"/>
        <w:rPr>
          <w:b/>
        </w:rPr>
      </w:pPr>
      <w:r w:rsidRPr="00C4167A">
        <w:rPr>
          <w:b/>
        </w:rPr>
        <w:t xml:space="preserve">Bilimsel Araştırma Komisyonunun </w:t>
      </w:r>
      <w:proofErr w:type="gramStart"/>
      <w:r w:rsidRPr="00C4167A">
        <w:rPr>
          <w:b/>
        </w:rPr>
        <w:t>04/07/2011</w:t>
      </w:r>
      <w:proofErr w:type="gramEnd"/>
      <w:r w:rsidRPr="00C4167A">
        <w:rPr>
          <w:b/>
        </w:rPr>
        <w:t xml:space="preserve"> tarih ve 38 sayılı toplantısının 3. Maddesinin yeniden değerlendirilmesi sonucunda;</w:t>
      </w:r>
    </w:p>
    <w:p w:rsidR="008042B9" w:rsidRPr="00C4167A" w:rsidRDefault="008042B9" w:rsidP="008042B9">
      <w:pPr>
        <w:pStyle w:val="ListeParagraf"/>
        <w:ind w:left="425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 w:hanging="538"/>
        <w:contextualSpacing/>
        <w:jc w:val="both"/>
      </w:pPr>
      <w:r w:rsidRPr="00C4167A">
        <w:t xml:space="preserve">Bilimsel Araştırma Projeleri Komisyonunun </w:t>
      </w:r>
      <w:proofErr w:type="gramStart"/>
      <w:r w:rsidRPr="00C4167A">
        <w:t>04/07/2011</w:t>
      </w:r>
      <w:proofErr w:type="gramEnd"/>
      <w:r w:rsidRPr="00C4167A">
        <w:t xml:space="preserve"> tarih ve 38 sayılı toplantısının 3. Maddesi</w:t>
      </w:r>
      <w:r>
        <w:t xml:space="preserve"> </w:t>
      </w:r>
      <w:r w:rsidRPr="00C4167A">
        <w:t>“</w:t>
      </w:r>
      <w:r w:rsidRPr="00C4167A">
        <w:rPr>
          <w:i/>
        </w:rPr>
        <w:t xml:space="preserve">Tüm projeler kapsamında talep edilen; bilgisayar, yazıcı, fotoğraf </w:t>
      </w:r>
      <w:proofErr w:type="spellStart"/>
      <w:r w:rsidRPr="00C4167A">
        <w:rPr>
          <w:i/>
        </w:rPr>
        <w:t>makinası</w:t>
      </w:r>
      <w:proofErr w:type="spellEnd"/>
      <w:r w:rsidRPr="00C4167A">
        <w:rPr>
          <w:i/>
        </w:rPr>
        <w:t xml:space="preserve"> ve ilgili Enstitü/Fakülte/Yüksekokul bünyesinde mevcut olan makine-teçhizat ile Yurtiçi/Yurtdışı Konferans Katılım Desteği ve Yurtiçi/Yurtdışı Bilimsel Etkinliklere Katılım Desteği taleplerinin, bütçemizin sınırlı olması nedeniyle desteklenmemesi ve diğer bütçe kalemlerinin Komisyonumuzca değerlendirilip bütçe imkanlarının el verdiği ölçüde </w:t>
      </w:r>
      <w:proofErr w:type="spellStart"/>
      <w:r w:rsidRPr="00C4167A">
        <w:rPr>
          <w:i/>
        </w:rPr>
        <w:t>desteklenmesi</w:t>
      </w:r>
      <w:r w:rsidRPr="00C4167A">
        <w:t>”nin</w:t>
      </w:r>
      <w:proofErr w:type="spellEnd"/>
    </w:p>
    <w:p w:rsidR="008042B9" w:rsidRPr="00C4167A" w:rsidRDefault="008042B9" w:rsidP="008042B9">
      <w:pPr>
        <w:pStyle w:val="ListeParagraf"/>
        <w:ind w:left="567"/>
        <w:jc w:val="both"/>
      </w:pPr>
    </w:p>
    <w:p w:rsidR="008042B9" w:rsidRPr="00C4167A" w:rsidRDefault="008042B9" w:rsidP="008042B9">
      <w:pPr>
        <w:ind w:left="574"/>
        <w:jc w:val="both"/>
      </w:pPr>
      <w:r w:rsidRPr="00C4167A">
        <w:t xml:space="preserve">* İlgili maddenin </w:t>
      </w:r>
      <w:r w:rsidRPr="00C4167A">
        <w:rPr>
          <w:i/>
        </w:rPr>
        <w:t xml:space="preserve">“Tüm projeler kapsamında talep edilen; bilgisayar, yazıcı, fotoğraf </w:t>
      </w:r>
      <w:proofErr w:type="spellStart"/>
      <w:r w:rsidRPr="00C4167A">
        <w:rPr>
          <w:i/>
        </w:rPr>
        <w:t>makinası</w:t>
      </w:r>
      <w:proofErr w:type="spellEnd"/>
      <w:r w:rsidRPr="00C4167A">
        <w:rPr>
          <w:i/>
        </w:rPr>
        <w:t xml:space="preserve"> ve ilgili Enstitü/Fakülte/Yüksekokul bünyesinde mevcut olan ancak makine-teçhizat”</w:t>
      </w:r>
      <w:r w:rsidRPr="00C4167A">
        <w:t xml:space="preserve">  bölümünün “Tüm projeler kapsamında talep edilen makine teçhizatın, araştırmanın gerçekleştirilebilmesi için makine-teçhizat işlevi görüyorsa karşılanması” </w:t>
      </w:r>
    </w:p>
    <w:p w:rsidR="008042B9" w:rsidRPr="00C4167A" w:rsidRDefault="008042B9" w:rsidP="008042B9">
      <w:pPr>
        <w:ind w:left="574"/>
        <w:jc w:val="both"/>
      </w:pPr>
    </w:p>
    <w:p w:rsidR="008042B9" w:rsidRPr="00C4167A" w:rsidRDefault="008042B9" w:rsidP="008042B9">
      <w:pPr>
        <w:pStyle w:val="ListeParagraf"/>
        <w:ind w:left="574"/>
        <w:jc w:val="both"/>
      </w:pPr>
      <w:proofErr w:type="gramStart"/>
      <w:r w:rsidRPr="00C4167A">
        <w:t>* İlgili maddenin “</w:t>
      </w:r>
      <w:r w:rsidRPr="00C4167A">
        <w:rPr>
          <w:i/>
        </w:rPr>
        <w:t>Yurtiçi/Yurtdışı Konferans Katılım Desteği ve Yurtiçi/Yurtdışı Bilimsel Etkinliklere Katılım Desteği taleplerinin, bütçemizin sınırlı olması nedeniyle desteklenmemesi</w:t>
      </w:r>
      <w:r w:rsidRPr="00C4167A">
        <w:t>” bölümünün “Komisyonumuza sunulan Yüksek Lisans ve Doktora Tez Proje Önerilerinde, ilgili projenin bütçe destek üst limitinin %20’sini aşmaması ve yalnızca projede görevli öğrencinin katılması koşuluyla yurtiçi/yurtdışı kongre, konferans, kurs, eğitim vb. etkinliklere katılımına ilişkin taleplerinin karşılanması”</w:t>
      </w:r>
      <w:proofErr w:type="gramEnd"/>
    </w:p>
    <w:p w:rsidR="008042B9" w:rsidRPr="00C4167A" w:rsidRDefault="008042B9" w:rsidP="008042B9">
      <w:pPr>
        <w:pStyle w:val="ListeParagraf"/>
        <w:ind w:left="574"/>
        <w:jc w:val="both"/>
      </w:pPr>
    </w:p>
    <w:p w:rsidR="008042B9" w:rsidRPr="00C4167A" w:rsidRDefault="008042B9" w:rsidP="008042B9">
      <w:pPr>
        <w:pStyle w:val="ListeParagraf"/>
        <w:ind w:left="574"/>
        <w:jc w:val="both"/>
      </w:pPr>
      <w:r w:rsidRPr="00C4167A">
        <w:tab/>
      </w:r>
      <w:proofErr w:type="gramStart"/>
      <w:r w:rsidRPr="00C4167A">
        <w:t>olarak</w:t>
      </w:r>
      <w:proofErr w:type="gramEnd"/>
      <w:r w:rsidRPr="00C4167A">
        <w:t xml:space="preserve"> değiştirilmesi ve Araştırma Projelerine yapılacak destek miktarlarının 45. Gündemde görüşülmesine Komisyonumuzca oy birliği ile karar verildi.</w:t>
      </w:r>
    </w:p>
    <w:p w:rsidR="008042B9" w:rsidRPr="00C4167A" w:rsidRDefault="008042B9" w:rsidP="008042B9">
      <w:pPr>
        <w:pStyle w:val="ListeParagraf"/>
        <w:ind w:left="574"/>
        <w:jc w:val="both"/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t>Üniversitemizce, Araştırma Projelerine yapılacak desteklere ilişkin genel şartların görüşülmesi,</w:t>
      </w:r>
    </w:p>
    <w:p w:rsidR="008042B9" w:rsidRPr="00C4167A" w:rsidRDefault="008042B9" w:rsidP="008042B9">
      <w:pPr>
        <w:pStyle w:val="ListeParagraf"/>
        <w:ind w:left="360"/>
        <w:jc w:val="both"/>
        <w:rPr>
          <w:b/>
        </w:rPr>
      </w:pPr>
    </w:p>
    <w:p w:rsidR="008042B9" w:rsidRPr="00C4167A" w:rsidRDefault="008042B9" w:rsidP="008042B9">
      <w:pPr>
        <w:pStyle w:val="ListeParagraf"/>
        <w:tabs>
          <w:tab w:val="left" w:pos="567"/>
        </w:tabs>
        <w:ind w:left="0"/>
        <w:jc w:val="both"/>
      </w:pPr>
      <w:r w:rsidRPr="00C4167A">
        <w:rPr>
          <w:b/>
        </w:rPr>
        <w:t>3.1.</w:t>
      </w:r>
      <w:r w:rsidRPr="00C4167A">
        <w:rPr>
          <w:b/>
        </w:rPr>
        <w:tab/>
      </w:r>
      <w:r w:rsidRPr="00C4167A">
        <w:t xml:space="preserve">Üniversitemizce desteklenen bir Araştırma Projesi sonuçlanmadan ve söz konusu proje kapsamında </w:t>
      </w:r>
      <w:r w:rsidRPr="00C4167A">
        <w:tab/>
        <w:t xml:space="preserve">herhangi bir yayın(makale, bildiri, bilimsel çalışma, kitap, kitap bölümü, sergi vb.) yapmaksızın ilgili </w:t>
      </w:r>
      <w:r w:rsidRPr="00C4167A">
        <w:tab/>
        <w:t xml:space="preserve">proje yöneticisi tarafından yapılan ikinci bir araştırma proje önerisinin dikkate alınmamasına </w:t>
      </w:r>
      <w:r w:rsidRPr="00C4167A">
        <w:tab/>
        <w:t>Komisyonumuzca oy birliği ile karar verildi.</w:t>
      </w:r>
    </w:p>
    <w:p w:rsidR="008042B9" w:rsidRDefault="008042B9" w:rsidP="008042B9">
      <w:pPr>
        <w:pStyle w:val="ListeParagraf"/>
        <w:ind w:left="567"/>
        <w:jc w:val="both"/>
      </w:pPr>
    </w:p>
    <w:p w:rsidR="008042B9" w:rsidRPr="00C4167A" w:rsidRDefault="008042B9" w:rsidP="008042B9">
      <w:pPr>
        <w:pStyle w:val="ListeParagraf"/>
        <w:ind w:left="567"/>
        <w:jc w:val="both"/>
      </w:pPr>
    </w:p>
    <w:p w:rsidR="008042B9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lastRenderedPageBreak/>
        <w:t>Bilimsel Araştırma Projeleri Komisyonu 2013 yılı toplantı tarihlerinin görüşülmesi sonucunda;</w:t>
      </w:r>
    </w:p>
    <w:p w:rsidR="008042B9" w:rsidRPr="00C4167A" w:rsidRDefault="008042B9" w:rsidP="008042B9">
      <w:pPr>
        <w:pStyle w:val="ListeParagraf"/>
        <w:ind w:left="283"/>
        <w:contextualSpacing/>
        <w:jc w:val="both"/>
        <w:rPr>
          <w:b/>
        </w:rPr>
      </w:pPr>
      <w:r w:rsidRPr="00C4167A">
        <w:rPr>
          <w:b/>
        </w:rPr>
        <w:tab/>
      </w:r>
      <w:r w:rsidRPr="00C4167A">
        <w:rPr>
          <w:b/>
        </w:rPr>
        <w:tab/>
      </w:r>
      <w:r w:rsidRPr="00C4167A">
        <w:rPr>
          <w:b/>
        </w:rPr>
        <w:tab/>
      </w: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 w:hanging="538"/>
        <w:contextualSpacing/>
        <w:jc w:val="both"/>
      </w:pPr>
      <w:r w:rsidRPr="00C4167A">
        <w:t>Bilimsel Araştırma Projeleri Komisyonunun 2013 yılı içerisinde aşağıda belirtilen tarihlerde toplanmasına Komisyonumuzca oy birliği ile karar verildi.</w:t>
      </w:r>
    </w:p>
    <w:p w:rsidR="008042B9" w:rsidRPr="00C4167A" w:rsidRDefault="008042B9" w:rsidP="008042B9">
      <w:pPr>
        <w:pStyle w:val="ListeParagraf"/>
        <w:ind w:left="567"/>
        <w:jc w:val="both"/>
      </w:pPr>
    </w:p>
    <w:p w:rsidR="008042B9" w:rsidRPr="00C4167A" w:rsidRDefault="008042B9" w:rsidP="008042B9">
      <w:pPr>
        <w:pStyle w:val="ListeParagraf"/>
        <w:ind w:left="680"/>
      </w:pPr>
      <w:r w:rsidRPr="00C4167A">
        <w:tab/>
      </w:r>
      <w:r w:rsidRPr="00C4167A">
        <w:tab/>
      </w:r>
      <w:proofErr w:type="gramStart"/>
      <w:r w:rsidRPr="00C4167A">
        <w:t>28  Mart</w:t>
      </w:r>
      <w:proofErr w:type="gramEnd"/>
      <w:r w:rsidRPr="00C4167A">
        <w:t xml:space="preserve">  2013</w:t>
      </w:r>
      <w:r w:rsidRPr="00C4167A">
        <w:tab/>
      </w:r>
      <w:r w:rsidRPr="00C4167A">
        <w:tab/>
      </w:r>
      <w:r w:rsidRPr="00C4167A">
        <w:tab/>
        <w:t>27  Haziran 2013</w:t>
      </w:r>
      <w:r w:rsidRPr="00C4167A">
        <w:tab/>
      </w:r>
      <w:r w:rsidRPr="00C4167A">
        <w:tab/>
      </w:r>
    </w:p>
    <w:p w:rsidR="008042B9" w:rsidRPr="00C4167A" w:rsidRDefault="008042B9" w:rsidP="008042B9">
      <w:pPr>
        <w:pStyle w:val="ListeParagraf"/>
        <w:ind w:left="680"/>
      </w:pPr>
      <w:r w:rsidRPr="00C4167A">
        <w:tab/>
      </w:r>
      <w:r w:rsidRPr="00C4167A">
        <w:tab/>
      </w:r>
      <w:proofErr w:type="gramStart"/>
      <w:r w:rsidRPr="00C4167A">
        <w:t>26  Eylül</w:t>
      </w:r>
      <w:proofErr w:type="gramEnd"/>
      <w:r w:rsidRPr="00C4167A">
        <w:t xml:space="preserve"> 2013</w:t>
      </w:r>
      <w:r w:rsidRPr="00C4167A">
        <w:tab/>
      </w:r>
      <w:r w:rsidRPr="00C4167A">
        <w:tab/>
      </w:r>
      <w:r w:rsidRPr="00C4167A">
        <w:tab/>
        <w:t>26  Aralık   2013</w:t>
      </w:r>
    </w:p>
    <w:p w:rsidR="008042B9" w:rsidRPr="00C4167A" w:rsidRDefault="008042B9" w:rsidP="008042B9">
      <w:pPr>
        <w:pStyle w:val="ListeParagraf"/>
        <w:ind w:left="680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t>Lisansüstü ve Araştırma Proje Önerilerinin 2013 yılı kabul tarihlerinin görüşülmesi sonucunda;</w:t>
      </w:r>
    </w:p>
    <w:p w:rsidR="008042B9" w:rsidRPr="00C4167A" w:rsidRDefault="008042B9" w:rsidP="008042B9">
      <w:pPr>
        <w:pStyle w:val="ListeParagraf"/>
        <w:ind w:left="426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 w:hanging="538"/>
        <w:contextualSpacing/>
        <w:jc w:val="both"/>
      </w:pPr>
      <w:r w:rsidRPr="00C4167A">
        <w:t>Üniversitemizce desteklenen Lisansüstü ve Araştırma Projelerine ilişkin Bilimsel Araştırma Projeleri Koordinasyon Birimine yapılacak 2013 yılı proje önerilerinin aşağıda belirtilen tarihlerde teslim edilmesine Komisyonumuzca oy birliği ile karar verildi.</w:t>
      </w:r>
    </w:p>
    <w:p w:rsidR="008042B9" w:rsidRPr="00C4167A" w:rsidRDefault="008042B9" w:rsidP="008042B9">
      <w:pPr>
        <w:pStyle w:val="ListeParagraf"/>
        <w:ind w:left="567"/>
        <w:jc w:val="both"/>
      </w:pPr>
    </w:p>
    <w:p w:rsidR="008042B9" w:rsidRPr="00C4167A" w:rsidRDefault="008042B9" w:rsidP="008042B9">
      <w:pPr>
        <w:pStyle w:val="ListeParagraf"/>
        <w:ind w:left="680"/>
      </w:pPr>
      <w:r w:rsidRPr="00C4167A">
        <w:t xml:space="preserve">  I. Dönem</w:t>
      </w:r>
      <w:r w:rsidRPr="00C4167A">
        <w:tab/>
        <w:t>: 04 -15 Mart 2013</w:t>
      </w:r>
    </w:p>
    <w:p w:rsidR="008042B9" w:rsidRPr="00C4167A" w:rsidRDefault="008042B9" w:rsidP="008042B9">
      <w:pPr>
        <w:pStyle w:val="ListeParagraf"/>
        <w:ind w:left="680"/>
      </w:pPr>
      <w:r w:rsidRPr="00C4167A">
        <w:t xml:space="preserve"> II. Dönem</w:t>
      </w:r>
      <w:r w:rsidRPr="00C4167A">
        <w:tab/>
        <w:t>: 03-14 Haziran 2013</w:t>
      </w:r>
    </w:p>
    <w:p w:rsidR="008042B9" w:rsidRPr="00C4167A" w:rsidRDefault="008042B9" w:rsidP="008042B9">
      <w:pPr>
        <w:pStyle w:val="ListeParagraf"/>
        <w:ind w:left="680"/>
      </w:pPr>
      <w:r w:rsidRPr="00C4167A">
        <w:t xml:space="preserve">III. Dönem </w:t>
      </w:r>
      <w:r w:rsidRPr="00C4167A">
        <w:tab/>
        <w:t>: 02-13 Eylül 2013</w:t>
      </w:r>
    </w:p>
    <w:p w:rsidR="008042B9" w:rsidRPr="00C4167A" w:rsidRDefault="008042B9" w:rsidP="008042B9">
      <w:pPr>
        <w:pStyle w:val="ListeParagraf"/>
        <w:ind w:left="680"/>
        <w:jc w:val="both"/>
      </w:pPr>
      <w:r w:rsidRPr="00C4167A">
        <w:t xml:space="preserve">IV. Dönem </w:t>
      </w:r>
      <w:r w:rsidRPr="00C4167A">
        <w:tab/>
        <w:t>: 02-13 Aralık 2013</w:t>
      </w:r>
    </w:p>
    <w:p w:rsidR="008042B9" w:rsidRPr="00C4167A" w:rsidRDefault="008042B9" w:rsidP="008042B9">
      <w:pPr>
        <w:pStyle w:val="ListeParagraf"/>
        <w:ind w:left="574"/>
        <w:jc w:val="both"/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t>Ek ödenek üst limitlerinin belirlenmesinin görüşülmesi sonucunda;</w:t>
      </w:r>
    </w:p>
    <w:p w:rsidR="008042B9" w:rsidRPr="00C4167A" w:rsidRDefault="008042B9" w:rsidP="008042B9">
      <w:pPr>
        <w:pStyle w:val="ListeParagraf"/>
        <w:ind w:left="426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 w:hanging="567"/>
        <w:contextualSpacing/>
        <w:jc w:val="both"/>
      </w:pPr>
      <w:r w:rsidRPr="00C4167A">
        <w:t xml:space="preserve">“Yükseköğretim Kurumları Bilimsel Araştırma Projeleri Hakkında </w:t>
      </w:r>
      <w:proofErr w:type="spellStart"/>
      <w:r w:rsidRPr="00C4167A">
        <w:t>Yönetmelik”in</w:t>
      </w:r>
      <w:proofErr w:type="spellEnd"/>
      <w:r w:rsidRPr="00C4167A">
        <w:t xml:space="preserve"> “</w:t>
      </w:r>
      <w:r w:rsidRPr="00C4167A">
        <w:rPr>
          <w:i/>
        </w:rPr>
        <w:t xml:space="preserve">Proje Süresi” </w:t>
      </w:r>
      <w:r w:rsidRPr="00C4167A">
        <w:t>başlıklı 16. Maddesi “</w:t>
      </w:r>
      <w:r w:rsidRPr="00C4167A">
        <w:rPr>
          <w:i/>
        </w:rPr>
        <w:t>…ilave kaynak ise toplam proje maliyetinin %50’sine kadar artırılabilir.” g</w:t>
      </w:r>
      <w:r w:rsidRPr="00C4167A">
        <w:t>ereğince 2013 yılı ilave kaynak üst limitinin %20 olarak belirlenmesine Komisyonumuzca oy birliği ile karar verildi.</w:t>
      </w:r>
    </w:p>
    <w:p w:rsidR="008042B9" w:rsidRPr="00C4167A" w:rsidRDefault="008042B9" w:rsidP="008042B9">
      <w:pPr>
        <w:pStyle w:val="ListeParagraf"/>
        <w:ind w:left="574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0"/>
          <w:numId w:val="1"/>
        </w:numPr>
        <w:ind w:left="283" w:hanging="284"/>
        <w:contextualSpacing/>
        <w:jc w:val="both"/>
        <w:rPr>
          <w:b/>
        </w:rPr>
      </w:pPr>
      <w:r w:rsidRPr="00C4167A">
        <w:rPr>
          <w:b/>
        </w:rPr>
        <w:t>Ön ödeme üst limitlerinin belirlenmesinin görüşülmesi sonucunda;</w:t>
      </w:r>
    </w:p>
    <w:p w:rsidR="008042B9" w:rsidRPr="00C4167A" w:rsidRDefault="008042B9" w:rsidP="008042B9">
      <w:pPr>
        <w:pStyle w:val="ListeParagraf"/>
        <w:ind w:left="426"/>
        <w:jc w:val="both"/>
        <w:rPr>
          <w:b/>
        </w:rPr>
      </w:pPr>
    </w:p>
    <w:p w:rsidR="008042B9" w:rsidRPr="00C4167A" w:rsidRDefault="008042B9" w:rsidP="008042B9">
      <w:pPr>
        <w:pStyle w:val="ListeParagraf"/>
        <w:numPr>
          <w:ilvl w:val="1"/>
          <w:numId w:val="1"/>
        </w:numPr>
        <w:ind w:left="567"/>
        <w:contextualSpacing/>
        <w:jc w:val="both"/>
      </w:pPr>
      <w:proofErr w:type="gramStart"/>
      <w:r w:rsidRPr="00C4167A">
        <w:t>“Yükseköğretim Kurumları Bütçelerinde Bilimsel Araştırma Projeleri İçin Tefrik Edilen Ödeneklerin Özel Hesaba Aktarılarak Kullanımı, Muhasebeleştirilmesi İle Özel Hesabın İşleyişine İlişkin Esas Ve Usulleri”nin “</w:t>
      </w:r>
      <w:r w:rsidRPr="00C4167A">
        <w:rPr>
          <w:i/>
        </w:rPr>
        <w:t xml:space="preserve">Ön Ödeme Ve Mahsup İşlemleri” </w:t>
      </w:r>
      <w:r w:rsidRPr="00C4167A">
        <w:t>başlıklı 8. Maddenin 1. Bendi “</w:t>
      </w:r>
      <w:r w:rsidRPr="00C4167A">
        <w:rPr>
          <w:i/>
        </w:rPr>
        <w:t>Ön ödeme limitleri, yılı merkezi yönetim bütçe kanununda iller için belirlenen parasal limitin altı katına kadar yükseköğretim kurumu tarafından belirlenir.” g</w:t>
      </w:r>
      <w:r w:rsidRPr="00C4167A">
        <w:t>ereğince 2013 yılı ön ödeme limitinin altı katı olarak belirlenmesine Komisyonumuzca oy birliği ile karar verildi.</w:t>
      </w:r>
      <w:proofErr w:type="gramEnd"/>
    </w:p>
    <w:p w:rsidR="008042B9" w:rsidRPr="00C4167A" w:rsidRDefault="008042B9" w:rsidP="008042B9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8042B9" w:rsidRPr="00C4167A" w:rsidRDefault="008042B9" w:rsidP="008042B9">
      <w:pPr>
        <w:pStyle w:val="ListeParagraf"/>
        <w:ind w:left="502"/>
        <w:contextualSpacing/>
        <w:jc w:val="both"/>
      </w:pPr>
    </w:p>
    <w:p w:rsidR="00FB08D5" w:rsidRDefault="00FB08D5"/>
    <w:sectPr w:rsidR="00FB08D5" w:rsidSect="008042B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0AE8"/>
    <w:multiLevelType w:val="multilevel"/>
    <w:tmpl w:val="D0C84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42B9"/>
    <w:rsid w:val="0074745E"/>
    <w:rsid w:val="008042B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2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>MuglaUniversitesi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2013-06-06T09:05:00Z</dcterms:created>
  <dcterms:modified xsi:type="dcterms:W3CDTF">2013-06-06T09:05:00Z</dcterms:modified>
</cp:coreProperties>
</file>